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8F3" w:rsidRDefault="00B858F3" w:rsidP="00B858F3">
      <w:pPr>
        <w:pStyle w:val="Stlus6"/>
        <w:pageBreakBefore/>
        <w:ind w:firstLine="0"/>
        <w:jc w:val="center"/>
        <w:rPr>
          <w:rFonts w:ascii="BernhardMod BT" w:hAnsi="BernhardMod BT"/>
          <w:b/>
          <w:bCs/>
        </w:rPr>
      </w:pPr>
      <w:r>
        <w:rPr>
          <w:rFonts w:ascii="BernhardMod BT" w:hAnsi="BernhardMod BT"/>
          <w:b/>
          <w:bCs/>
        </w:rPr>
        <w:t xml:space="preserve">I. 3. AZ ÉSZ </w:t>
      </w:r>
      <w:proofErr w:type="gramStart"/>
      <w:r>
        <w:rPr>
          <w:rFonts w:ascii="BernhardMod BT" w:hAnsi="BernhardMod BT"/>
          <w:b/>
          <w:bCs/>
        </w:rPr>
        <w:t>ÉS</w:t>
      </w:r>
      <w:proofErr w:type="gramEnd"/>
      <w:r>
        <w:rPr>
          <w:rFonts w:ascii="BernhardMod BT" w:hAnsi="BernhardMod BT"/>
          <w:b/>
          <w:bCs/>
        </w:rPr>
        <w:t xml:space="preserve"> HIT ÖSSZHANGJA LEIBNIZ THEODICEÁJÁBAN</w:t>
      </w:r>
    </w:p>
    <w:p w:rsidR="00B858F3" w:rsidRDefault="00B858F3" w:rsidP="00B858F3">
      <w:pPr>
        <w:pStyle w:val="Stlus6"/>
      </w:pPr>
      <w:r>
        <w:t xml:space="preserve">     </w:t>
      </w:r>
    </w:p>
    <w:p w:rsidR="00B858F3" w:rsidRDefault="00B858F3" w:rsidP="00B858F3">
      <w:pPr>
        <w:pStyle w:val="Stlus6"/>
      </w:pPr>
      <w:r>
        <w:t>Leibniz filozófiai munkássága során nagy figyelmet fordít az ész és hit összhangjának bizo</w:t>
      </w:r>
      <w:r>
        <w:softHyphen/>
        <w:t>nyítására, ám ezt azzal az egyáltalán nem titkolt szándé</w:t>
      </w:r>
      <w:r>
        <w:t>k</w:t>
      </w:r>
      <w:r>
        <w:t>kal tette, hogy az „észt a hit szolgálatába állítsa.”</w:t>
      </w:r>
      <w:r>
        <w:rPr>
          <w:rStyle w:val="Lbjegyzet-hivatkozs"/>
        </w:rPr>
        <w:footnoteReference w:id="1"/>
      </w:r>
      <w:r>
        <w:t>A filozófus tervei között sz</w:t>
      </w:r>
      <w:r>
        <w:t>e</w:t>
      </w:r>
      <w:r>
        <w:t>repelt ugyanis egy olyan racionális apologetika megírása, amely a katolikusok és protestánsok k</w:t>
      </w:r>
      <w:r>
        <w:t>ö</w:t>
      </w:r>
      <w:r>
        <w:t>zötti né</w:t>
      </w:r>
      <w:r>
        <w:softHyphen/>
        <w:t>zeteltérések megszüntetése mellett, a két egyház egyesítését is lehetővé tette volna.</w:t>
      </w:r>
      <w:r>
        <w:rPr>
          <w:rStyle w:val="Lbjegyzet-hivatkozs"/>
        </w:rPr>
        <w:t xml:space="preserve"> </w:t>
      </w:r>
      <w:r>
        <w:t>Egy 1679-ben kelt levelében Leibniz utal arra, hogy a te</w:t>
      </w:r>
      <w:r>
        <w:t>r</w:t>
      </w:r>
      <w:r>
        <w:t xml:space="preserve">vezett mű </w:t>
      </w:r>
      <w:proofErr w:type="spellStart"/>
      <w:r>
        <w:rPr>
          <w:i/>
        </w:rPr>
        <w:t>Demonstrationes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Catholicae</w:t>
      </w:r>
      <w:proofErr w:type="spellEnd"/>
      <w:r>
        <w:rPr>
          <w:i/>
        </w:rPr>
        <w:t xml:space="preserve"> </w:t>
      </w:r>
      <w:r>
        <w:t>címet viselné, és három nagy részből épülne fel: az első Isten létének és a lélek halhatatlanságának bizonyítását tartalmazná, a má</w:t>
      </w:r>
      <w:r>
        <w:softHyphen/>
        <w:t>sodik a vallási misztériumok racionális alátámasztásának lehetőségeit venné számba, a harmadik rész viszont az egyház és állam viszonyát tárgyalná.</w:t>
      </w:r>
      <w:r>
        <w:rPr>
          <w:rStyle w:val="Lbjegyzet-hivatkozs"/>
        </w:rPr>
        <w:footnoteReference w:id="2"/>
      </w:r>
      <w:r>
        <w:t>Ez az írás végleges form</w:t>
      </w:r>
      <w:r>
        <w:t>á</w:t>
      </w:r>
      <w:r>
        <w:t>ban sohasem készült el, ám az előkészítő munkálatok nyo</w:t>
      </w:r>
      <w:r>
        <w:softHyphen/>
        <w:t>mait több leibnizi műben fel lehet isme</w:t>
      </w:r>
      <w:r>
        <w:t>r</w:t>
      </w:r>
      <w:r>
        <w:t xml:space="preserve">ni. </w:t>
      </w:r>
      <w:r>
        <w:rPr>
          <w:rStyle w:val="Lbjegyzet-hivatkozs"/>
        </w:rPr>
        <w:footnoteReference w:id="3"/>
      </w:r>
    </w:p>
    <w:p w:rsidR="00B858F3" w:rsidRDefault="00B858F3" w:rsidP="00B858F3">
      <w:pPr>
        <w:pStyle w:val="Stlus6"/>
      </w:pPr>
      <w:r>
        <w:t>A filozófia és teológia, az ész és hit összeegyeztetésének kérdését a legrés</w:t>
      </w:r>
      <w:r>
        <w:t>z</w:t>
      </w:r>
      <w:r>
        <w:softHyphen/>
        <w:t xml:space="preserve">letesebben a </w:t>
      </w:r>
      <w:proofErr w:type="spellStart"/>
      <w:r>
        <w:rPr>
          <w:i/>
        </w:rPr>
        <w:t>Theodiceá</w:t>
      </w:r>
      <w:r>
        <w:t>ban</w:t>
      </w:r>
      <w:proofErr w:type="spellEnd"/>
      <w:r>
        <w:t xml:space="preserve"> fejti ki. </w:t>
      </w:r>
      <w:proofErr w:type="gramStart"/>
      <w:r>
        <w:t>A két megismerési rend közötti viszony meg</w:t>
      </w:r>
      <w:r>
        <w:softHyphen/>
        <w:t>határozásakor Leibniz a „kettős igazság” koncepciójának ahhoz a változatához foly</w:t>
      </w:r>
      <w:r>
        <w:t>a</w:t>
      </w:r>
      <w:r>
        <w:t>modott, amely a XVII. században meglehetősen nagy népszerűségnek ör</w:t>
      </w:r>
      <w:r>
        <w:softHyphen/>
        <w:t>vendett, s amely szerint a hit és ész nem lehet ellentétben egymással, mert min</w:t>
      </w:r>
      <w:r>
        <w:t>d</w:t>
      </w:r>
      <w:r>
        <w:t>kettőnek más a tárgya: a hit tárgyát az Isten által kinyilatkoztatott igazsá</w:t>
      </w:r>
      <w:r>
        <w:softHyphen/>
        <w:t>gok k</w:t>
      </w:r>
      <w:r>
        <w:t>é</w:t>
      </w:r>
      <w:r>
        <w:t>pezik, az ész viszont olyan igazságok láncolataként értelmezhető, me</w:t>
      </w:r>
      <w:r>
        <w:softHyphen/>
        <w:t>lyekre az emberi szellem a természetes megismerés útján tesz szert, a hit segít</w:t>
      </w:r>
      <w:r>
        <w:softHyphen/>
        <w:t>sége né</w:t>
      </w:r>
      <w:r>
        <w:t>l</w:t>
      </w:r>
      <w:r>
        <w:t>kül.</w:t>
      </w:r>
      <w:proofErr w:type="gramEnd"/>
      <w:r>
        <w:rPr>
          <w:rStyle w:val="Lbjegyzet-hivatkozs"/>
        </w:rPr>
        <w:footnoteReference w:id="4"/>
      </w:r>
      <w:r>
        <w:t xml:space="preserve">Ebből viszont az </w:t>
      </w:r>
      <w:r>
        <w:lastRenderedPageBreak/>
        <w:t>következik, hogy a filozófiai gondolkodással el</w:t>
      </w:r>
      <w:r>
        <w:softHyphen/>
        <w:t>ért igazság és a kinyilatkoztatott igazság nem keverhető össze egymással, de nem is teszik egymást fölösl</w:t>
      </w:r>
      <w:r>
        <w:t>e</w:t>
      </w:r>
      <w:r>
        <w:t xml:space="preserve">gessé. </w:t>
      </w:r>
    </w:p>
    <w:p w:rsidR="00B858F3" w:rsidRDefault="00B858F3" w:rsidP="00B858F3">
      <w:pPr>
        <w:pStyle w:val="Stlus6"/>
      </w:pPr>
      <w:r>
        <w:t xml:space="preserve">Leibniz az ész igazságait két nagy csoportra osztja: vannak az </w:t>
      </w:r>
      <w:r>
        <w:rPr>
          <w:i/>
        </w:rPr>
        <w:t>örök igazsá</w:t>
      </w:r>
      <w:r>
        <w:rPr>
          <w:i/>
        </w:rPr>
        <w:softHyphen/>
        <w:t>gok</w:t>
      </w:r>
      <w:r>
        <w:t xml:space="preserve"> (a tulajdonképpeni </w:t>
      </w:r>
      <w:r>
        <w:rPr>
          <w:i/>
        </w:rPr>
        <w:t>észigazságok</w:t>
      </w:r>
      <w:r>
        <w:t>) – ilyenek a logika és a matematika igazsá</w:t>
      </w:r>
      <w:r>
        <w:softHyphen/>
        <w:t>gai – m</w:t>
      </w:r>
      <w:r>
        <w:t>e</w:t>
      </w:r>
      <w:r>
        <w:t xml:space="preserve">lyek </w:t>
      </w:r>
      <w:r>
        <w:rPr>
          <w:i/>
        </w:rPr>
        <w:t>abszolút szükségszerűek,</w:t>
      </w:r>
      <w:r>
        <w:t xml:space="preserve"> és ellentétük ellentmondást foglal magá</w:t>
      </w:r>
      <w:r>
        <w:softHyphen/>
        <w:t xml:space="preserve">ban; és vannak a </w:t>
      </w:r>
      <w:r>
        <w:rPr>
          <w:i/>
        </w:rPr>
        <w:t xml:space="preserve">tényigazságok, </w:t>
      </w:r>
      <w:r>
        <w:t>melyek az empirikus megismerésből származ</w:t>
      </w:r>
      <w:r>
        <w:softHyphen/>
        <w:t xml:space="preserve">nak, ezért </w:t>
      </w:r>
      <w:r>
        <w:rPr>
          <w:i/>
        </w:rPr>
        <w:t>kontinge</w:t>
      </w:r>
      <w:r>
        <w:rPr>
          <w:i/>
        </w:rPr>
        <w:t>n</w:t>
      </w:r>
      <w:r>
        <w:rPr>
          <w:i/>
        </w:rPr>
        <w:t>sek,</w:t>
      </w:r>
      <w:r>
        <w:t xml:space="preserve"> és ellentétük nem tartalmaz ellentmondást.</w:t>
      </w:r>
      <w:r>
        <w:rPr>
          <w:rStyle w:val="Lbjegyzet-hivatkozs"/>
        </w:rPr>
        <w:footnoteReference w:id="5"/>
      </w:r>
      <w:r>
        <w:t>Ám a filozó</w:t>
      </w:r>
      <w:r>
        <w:softHyphen/>
        <w:t>fiai vagy teológiai ért</w:t>
      </w:r>
      <w:r>
        <w:t>e</w:t>
      </w:r>
      <w:r>
        <w:t>lemben vett ráció, melynek a hit sem mondhat el</w:t>
      </w:r>
      <w:r>
        <w:softHyphen/>
        <w:t>lent, kiz</w:t>
      </w:r>
      <w:r>
        <w:t>á</w:t>
      </w:r>
      <w:r>
        <w:t>rólag az örök igazságok láncolatát foglalja magában.</w:t>
      </w:r>
      <w:r>
        <w:rPr>
          <w:rStyle w:val="Lbjegyzet-hivatkozs"/>
        </w:rPr>
        <w:footnoteReference w:id="6"/>
      </w:r>
      <w:r>
        <w:t>Az örök igazsá</w:t>
      </w:r>
      <w:r>
        <w:softHyphen/>
        <w:t xml:space="preserve">gok között is kiemelkedő helyet foglal el az </w:t>
      </w:r>
      <w:r>
        <w:rPr>
          <w:i/>
        </w:rPr>
        <w:t xml:space="preserve">ellentmondás elve, </w:t>
      </w:r>
      <w:r>
        <w:t>h</w:t>
      </w:r>
      <w:r>
        <w:t>i</w:t>
      </w:r>
      <w:r>
        <w:t xml:space="preserve">szen egy olyan </w:t>
      </w:r>
      <w:proofErr w:type="spellStart"/>
      <w:r>
        <w:t>metaprincipiumról</w:t>
      </w:r>
      <w:proofErr w:type="spellEnd"/>
      <w:r>
        <w:t xml:space="preserve"> van szó, amely nemcsak az emberi gondolkodást köti, hanem Istent is kötelezi. Az ész és hit közötti összhang tulajdo</w:t>
      </w:r>
      <w:r>
        <w:t>n</w:t>
      </w:r>
      <w:r>
        <w:t>képpen ennek az elvnek legfőbb követelménye: mind az ész, mind a hit igazságai I</w:t>
      </w:r>
      <w:r>
        <w:t>s</w:t>
      </w:r>
      <w:r>
        <w:t>tentől származnak, így a közöttük lévő ellentmondás magában Istenben volna ellen</w:t>
      </w:r>
      <w:r>
        <w:t>t</w:t>
      </w:r>
      <w:r>
        <w:t>mondás.</w:t>
      </w:r>
      <w:r>
        <w:rPr>
          <w:rStyle w:val="Lbjegyzet-hivatkozs"/>
        </w:rPr>
        <w:footnoteReference w:id="7"/>
      </w:r>
      <w:r>
        <w:t xml:space="preserve"> </w:t>
      </w:r>
    </w:p>
    <w:p w:rsidR="00B858F3" w:rsidRDefault="00B858F3" w:rsidP="00B858F3">
      <w:pPr>
        <w:pStyle w:val="Stlus6"/>
      </w:pPr>
      <w:r>
        <w:t xml:space="preserve">Leibniz </w:t>
      </w:r>
      <w:proofErr w:type="spellStart"/>
      <w:r>
        <w:t>Bayle-lel</w:t>
      </w:r>
      <w:proofErr w:type="spellEnd"/>
      <w:r>
        <w:t xml:space="preserve"> polemizálva kijelenti, hogy a kinyilatkoztatott igazságok </w:t>
      </w:r>
      <w:r>
        <w:rPr>
          <w:i/>
        </w:rPr>
        <w:t xml:space="preserve">felette vannak az észnek, </w:t>
      </w:r>
      <w:r>
        <w:t xml:space="preserve">de </w:t>
      </w:r>
      <w:r>
        <w:rPr>
          <w:i/>
        </w:rPr>
        <w:t>nem ellenkeznek</w:t>
      </w:r>
      <w:r>
        <w:t xml:space="preserve"> vele.</w:t>
      </w:r>
      <w:r>
        <w:rPr>
          <w:rStyle w:val="Lbjegyzet-hivatkozs"/>
        </w:rPr>
        <w:footnoteReference w:id="8"/>
      </w:r>
      <w:r>
        <w:t>Hiszen ami ellentmond az észnek, az e</w:t>
      </w:r>
      <w:r>
        <w:t>l</w:t>
      </w:r>
      <w:r>
        <w:t>lentmond az egyetemes igazságnak is, míg az, ami az ész felett van, csak azzal elle</w:t>
      </w:r>
      <w:r>
        <w:t>n</w:t>
      </w:r>
      <w:r>
        <w:t xml:space="preserve">kezik, amit mi meg tudunk ismerni:  </w:t>
      </w:r>
    </w:p>
    <w:p w:rsidR="00B858F3" w:rsidRDefault="00B858F3" w:rsidP="00B858F3">
      <w:pPr>
        <w:pStyle w:val="Stlus6"/>
      </w:pPr>
      <w:r>
        <w:t>„Egy igazság akkor ész feletti, ha szellemünk vagy bármely más teremtett sze</w:t>
      </w:r>
      <w:r>
        <w:t>l</w:t>
      </w:r>
      <w:r>
        <w:t>lem nem képes megérteni azt; nézetem szerint ilyen a Szentháromság, vala</w:t>
      </w:r>
      <w:r>
        <w:softHyphen/>
        <w:t>mint azok a csodák, amelyeket kizárólag Istennek tulajdonítunk, mint például a Tere</w:t>
      </w:r>
      <w:r>
        <w:t>m</w:t>
      </w:r>
      <w:r>
        <w:t xml:space="preserve">tés; de ilyen a világegyetem rendjének választása is, amely az egyetemes harmónián és </w:t>
      </w:r>
      <w:r>
        <w:lastRenderedPageBreak/>
        <w:t>végtelen sok dolog egyidejű megismerésén alapszik. Ám egy igaz</w:t>
      </w:r>
      <w:r>
        <w:softHyphen/>
        <w:t>ság sohasem l</w:t>
      </w:r>
      <w:r>
        <w:t>e</w:t>
      </w:r>
      <w:r>
        <w:t>het az ésszel ellentétes.”</w:t>
      </w:r>
      <w:r>
        <w:rPr>
          <w:rStyle w:val="Lbjegyzet-hivatkozs"/>
        </w:rPr>
        <w:footnoteReference w:id="9"/>
      </w:r>
      <w:r>
        <w:t xml:space="preserve"> </w:t>
      </w:r>
    </w:p>
    <w:p w:rsidR="00B858F3" w:rsidRDefault="00B858F3" w:rsidP="00B858F3">
      <w:pPr>
        <w:pStyle w:val="Stlus6"/>
      </w:pPr>
      <w:r>
        <w:t>Ez a kijelentés két szempontból is fontos: egyrészt alátámasztja a keresztény racionalitás gondolatát – „az ész távol attól, hogy ellenkezzen a kereszténység</w:t>
      </w:r>
      <w:r>
        <w:softHyphen/>
        <w:t>gel, e vallás talapzatát képezi”</w:t>
      </w:r>
      <w:r>
        <w:rPr>
          <w:rStyle w:val="Lbjegyzet-hivatkozs"/>
        </w:rPr>
        <w:footnoteReference w:id="10"/>
      </w:r>
      <w:r>
        <w:t>–, másrészt az észre ruházza azt a feladatot, hogy elvála</w:t>
      </w:r>
      <w:r>
        <w:t>s</w:t>
      </w:r>
      <w:r>
        <w:t>sza az „igaz” hittételeket a „hamisaktól”. Ha ugyanis az ész ellen</w:t>
      </w:r>
      <w:r>
        <w:softHyphen/>
        <w:t>vetései a hit valamely tét</w:t>
      </w:r>
      <w:r>
        <w:t>e</w:t>
      </w:r>
      <w:r>
        <w:t>lével szemben megdönthetetlennek bizonyulnak, ak</w:t>
      </w:r>
      <w:r>
        <w:softHyphen/>
        <w:t>kor a szóban forgó tételt hamisnak és képtelennek kell nyilvánítani.</w:t>
      </w:r>
      <w:r>
        <w:rPr>
          <w:rStyle w:val="Lbjegyzet-hivatkozs"/>
        </w:rPr>
        <w:footnoteReference w:id="11"/>
      </w:r>
      <w:r>
        <w:t xml:space="preserve"> </w:t>
      </w:r>
    </w:p>
    <w:p w:rsidR="00B858F3" w:rsidRDefault="00B858F3" w:rsidP="00B858F3">
      <w:pPr>
        <w:pStyle w:val="Stlus6"/>
      </w:pPr>
      <w:r>
        <w:t>Ez egy veszélyes tétel, hiszen az észre ruházza azt a hatalmat, hogy a hit ál</w:t>
      </w:r>
      <w:r>
        <w:softHyphen/>
        <w:t>lításai felől döntsön. Leibniz az ész esetleges túlkapásait azzal hárítja el, hogy a „p</w:t>
      </w:r>
      <w:r>
        <w:t>ő</w:t>
      </w:r>
      <w:r>
        <w:t>re hit” és a „magára hagyott értelem” ellenében „egymásrautaltságról” és „egyeté</w:t>
      </w:r>
      <w:r>
        <w:t>r</w:t>
      </w:r>
      <w:r>
        <w:t>tésről” beszél, és annak a meggyőződésének ad hangot, hogy „az isteni kegyelem által megvilágított igaz ész győzelme, egyben a hit és szeretet győ</w:t>
      </w:r>
      <w:r>
        <w:softHyphen/>
        <w:t>zelme is”.</w:t>
      </w:r>
      <w:r>
        <w:rPr>
          <w:rStyle w:val="Lbjegyzet-hivatkozs"/>
        </w:rPr>
        <w:footnoteReference w:id="12"/>
      </w:r>
      <w:r>
        <w:t>Ugy</w:t>
      </w:r>
      <w:r>
        <w:t>a</w:t>
      </w:r>
      <w:r>
        <w:t>nakkor arra is felhívja a figyelmet, hogy a hit, illetve teológia, és az ész helyes v</w:t>
      </w:r>
      <w:r>
        <w:t>i</w:t>
      </w:r>
      <w:r>
        <w:t xml:space="preserve">szonyát csak akkor érthetjük meg, ha különbséget teszünk a </w:t>
      </w:r>
      <w:r>
        <w:rPr>
          <w:i/>
        </w:rPr>
        <w:t>megértés</w:t>
      </w:r>
      <w:r>
        <w:t xml:space="preserve">, a </w:t>
      </w:r>
      <w:r>
        <w:rPr>
          <w:i/>
        </w:rPr>
        <w:t>bizonyítás</w:t>
      </w:r>
      <w:r>
        <w:t xml:space="preserve"> és az </w:t>
      </w:r>
      <w:r>
        <w:rPr>
          <w:i/>
        </w:rPr>
        <w:t>alátámasztás</w:t>
      </w:r>
      <w:r>
        <w:t xml:space="preserve"> intellektuális tevékenysége között. Eszerint egy k</w:t>
      </w:r>
      <w:r>
        <w:t>i</w:t>
      </w:r>
      <w:r>
        <w:t xml:space="preserve">nyilatkoztatott igazságot </w:t>
      </w:r>
      <w:r>
        <w:rPr>
          <w:i/>
        </w:rPr>
        <w:t>meg lehet magyarázni</w:t>
      </w:r>
      <w:r>
        <w:t>, amennyire szükséges ah</w:t>
      </w:r>
      <w:r>
        <w:softHyphen/>
        <w:t xml:space="preserve">hoz, hogy higgyünk benne, de </w:t>
      </w:r>
      <w:r>
        <w:rPr>
          <w:i/>
        </w:rPr>
        <w:t>nem lehet megérteni,</w:t>
      </w:r>
      <w:r>
        <w:t xml:space="preserve"> és </w:t>
      </w:r>
      <w:r>
        <w:rPr>
          <w:i/>
        </w:rPr>
        <w:t>bizonyítani</w:t>
      </w:r>
      <w:r>
        <w:t>, h</w:t>
      </w:r>
      <w:r>
        <w:t>i</w:t>
      </w:r>
      <w:r>
        <w:t xml:space="preserve">szen nem tudhatjuk mi okból és miként jött létre. Ám ez nem gátolja meg az észt abban, hogy </w:t>
      </w:r>
      <w:r>
        <w:rPr>
          <w:i/>
        </w:rPr>
        <w:t xml:space="preserve">alátámassza </w:t>
      </w:r>
      <w:r>
        <w:t>a szóban forgó hitig</w:t>
      </w:r>
      <w:r>
        <w:t>a</w:t>
      </w:r>
      <w:r>
        <w:t>zság „lehetőségét” – ellent-mondásmen</w:t>
      </w:r>
      <w:r>
        <w:softHyphen/>
        <w:t>tességét – az ellene felhozott érvekkel szemben.</w:t>
      </w:r>
      <w:r>
        <w:rPr>
          <w:rStyle w:val="Lbjegyzet-hivatkozs"/>
        </w:rPr>
        <w:footnoteReference w:id="13"/>
      </w:r>
      <w:r>
        <w:t>Helytelen volna azonban ebből arra következtetni, hogy az ész természete kimerül a hit vagy teológiai tudás igazságainak legitimáci</w:t>
      </w:r>
      <w:r>
        <w:t>ó</w:t>
      </w:r>
      <w:r>
        <w:t xml:space="preserve">jában.    </w:t>
      </w:r>
    </w:p>
    <w:p w:rsidR="00B858F3" w:rsidRDefault="00B858F3" w:rsidP="00B858F3">
      <w:pPr>
        <w:pStyle w:val="Stlus6"/>
      </w:pPr>
      <w:r>
        <w:t xml:space="preserve">Leibniz értelmezésében a </w:t>
      </w:r>
      <w:r>
        <w:rPr>
          <w:i/>
        </w:rPr>
        <w:t>ratio</w:t>
      </w:r>
      <w:r>
        <w:t xml:space="preserve"> és vele a </w:t>
      </w:r>
      <w:r>
        <w:rPr>
          <w:i/>
        </w:rPr>
        <w:t>bölcselet</w:t>
      </w:r>
      <w:r>
        <w:t xml:space="preserve"> nem </w:t>
      </w:r>
      <w:proofErr w:type="spellStart"/>
      <w:r>
        <w:rPr>
          <w:i/>
          <w:iCs/>
        </w:rPr>
        <w:t>ancilla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theologiae</w:t>
      </w:r>
      <w:proofErr w:type="spellEnd"/>
      <w:r>
        <w:t>, nem pusztán „szolgál</w:t>
      </w:r>
      <w:r>
        <w:t>ó</w:t>
      </w:r>
      <w:r>
        <w:t>ja” a hittudománynak, hanem az igazság keresésének au</w:t>
      </w:r>
      <w:r>
        <w:softHyphen/>
        <w:t>tonóm és alkalmas útja. Azt ugyanis az emberi ész, a kegyelem természetfeletti segítsége né</w:t>
      </w:r>
      <w:r>
        <w:t>l</w:t>
      </w:r>
      <w:r>
        <w:t xml:space="preserve">kül is képes felismerni, hogy a dolgok utolsó és elégséges oka Isten, és ebből helyes </w:t>
      </w:r>
      <w:r>
        <w:lastRenderedPageBreak/>
        <w:t>következtetéssel olyan logikus és szükségszerű tételeket képes kibo</w:t>
      </w:r>
      <w:r>
        <w:t>n</w:t>
      </w:r>
      <w:r>
        <w:t>tani, melyek egy egységes természetfil</w:t>
      </w:r>
      <w:r>
        <w:t>o</w:t>
      </w:r>
      <w:r>
        <w:t xml:space="preserve">zófia alapjául szolgálnak. </w:t>
      </w:r>
    </w:p>
    <w:p w:rsidR="00B858F3" w:rsidRDefault="00B858F3" w:rsidP="00B858F3">
      <w:pPr>
        <w:pStyle w:val="Stlus6"/>
      </w:pPr>
      <w:r>
        <w:t>A hit ugyan megnyithatja az észt arra, hogy a világ rendjében és eseményei</w:t>
      </w:r>
      <w:r>
        <w:softHyphen/>
        <w:t xml:space="preserve">ben fölfedezze az isteni gondviselés tevékeny jelenlétét, de nem helyettesítheti az általa képviselt </w:t>
      </w:r>
      <w:r>
        <w:rPr>
          <w:i/>
        </w:rPr>
        <w:t>metafizikai bizonyosság</w:t>
      </w:r>
      <w:r>
        <w:t>ot a természet-megismerés területén. Ugy</w:t>
      </w:r>
      <w:r>
        <w:t>a</w:t>
      </w:r>
      <w:r>
        <w:t xml:space="preserve">nakkor az ész sem helyettesítheti az isteni kinyilatkoztatás nyújtotta </w:t>
      </w:r>
      <w:r>
        <w:rPr>
          <w:i/>
        </w:rPr>
        <w:t>morá</w:t>
      </w:r>
      <w:r>
        <w:rPr>
          <w:i/>
        </w:rPr>
        <w:softHyphen/>
        <w:t>lis biz</w:t>
      </w:r>
      <w:r>
        <w:rPr>
          <w:i/>
        </w:rPr>
        <w:t>o</w:t>
      </w:r>
      <w:r>
        <w:rPr>
          <w:i/>
        </w:rPr>
        <w:t>nyosság</w:t>
      </w:r>
      <w:r>
        <w:t>ot a hit területén.</w:t>
      </w:r>
      <w:r>
        <w:rPr>
          <w:rStyle w:val="Lbjegyzet-hivatkozs"/>
        </w:rPr>
        <w:footnoteReference w:id="14"/>
      </w:r>
      <w:r>
        <w:t>Tulajdonképpen két megismerési rendről van szó, melyek nemcsak kiind</w:t>
      </w:r>
      <w:r>
        <w:t>u</w:t>
      </w:r>
      <w:r>
        <w:t>lópontjukban és tárgyukban, hanem megértési módjukban is különböznek: az analit</w:t>
      </w:r>
      <w:r>
        <w:t>i</w:t>
      </w:r>
      <w:r>
        <w:t>kus ész „elfogad”, az elkötelező hit pedig „befogad.” Valamiben azonban mégis me</w:t>
      </w:r>
      <w:r>
        <w:t>g</w:t>
      </w:r>
      <w:r>
        <w:t xml:space="preserve">egyeznek, és éppen ez biztosítja összhangjukat: közös céljuk az igazság megragadása.     </w:t>
      </w:r>
    </w:p>
    <w:p w:rsidR="00B858F3" w:rsidRDefault="00B858F3" w:rsidP="00B858F3">
      <w:pPr>
        <w:pStyle w:val="Stlus6"/>
      </w:pPr>
      <w:r>
        <w:t>Nem nehéz felismerni Leibniz fejtegetéseiben a skolasztikus hagyomány sz</w:t>
      </w:r>
      <w:r>
        <w:t>á</w:t>
      </w:r>
      <w:r>
        <w:t xml:space="preserve">mos elemét, melyet – a tőle megszokott „békítő” stílusban – a racionalista filozófia azon követelményével kíván összeegyeztetni, hogy mindent a </w:t>
      </w:r>
      <w:proofErr w:type="gramStart"/>
      <w:r>
        <w:rPr>
          <w:i/>
        </w:rPr>
        <w:t>józan ész</w:t>
      </w:r>
      <w:r>
        <w:t>re</w:t>
      </w:r>
      <w:proofErr w:type="gramEnd"/>
      <w:r>
        <w:t xml:space="preserve"> támaszkodva lásson be, illetve emeljen ki az ész hatóköréből. Fenntartja a h</w:t>
      </w:r>
      <w:r>
        <w:t>i</w:t>
      </w:r>
      <w:r>
        <w:t>tet, azonban annak minden vonatkozásában ésszerűséget keres, mert szerinte a hitben sem lehet az észbeli okok megfontolása nélkül boldogulni, mint ahogy nem lehet a szellemi élet más terület</w:t>
      </w:r>
      <w:r>
        <w:t>e</w:t>
      </w:r>
      <w:r>
        <w:t xml:space="preserve">in sem. </w:t>
      </w:r>
    </w:p>
    <w:p w:rsidR="00B858F3" w:rsidRDefault="00B858F3" w:rsidP="00B858F3">
      <w:pPr>
        <w:pStyle w:val="Stlus6"/>
        <w:jc w:val="center"/>
        <w:rPr>
          <w:rFonts w:ascii="BernhardMod BT" w:hAnsi="BernhardMod BT"/>
          <w:bCs/>
        </w:rPr>
      </w:pPr>
      <w:r>
        <w:rPr>
          <w:rFonts w:ascii="BernhardMod BT" w:hAnsi="BernhardMod BT"/>
          <w:bCs/>
        </w:rPr>
        <w:t>I. 4. ÖSSZEGZÉS</w:t>
      </w:r>
    </w:p>
    <w:p w:rsidR="00B858F3" w:rsidRDefault="00B858F3" w:rsidP="00B858F3">
      <w:pPr>
        <w:pStyle w:val="Stlus6"/>
      </w:pPr>
      <w:r>
        <w:t xml:space="preserve">    </w:t>
      </w:r>
    </w:p>
    <w:p w:rsidR="00B858F3" w:rsidRDefault="00B858F3" w:rsidP="00B858F3">
      <w:pPr>
        <w:pStyle w:val="Stlus6"/>
      </w:pPr>
      <w:r>
        <w:t>A jelen fejezet megírása során azt tartottam a legfontosabbnak, hogy az általam tanulmányozott racionalista gondolkodók – Descartes, Spinoza és Leibniz – teológi</w:t>
      </w:r>
      <w:r>
        <w:t>á</w:t>
      </w:r>
      <w:r>
        <w:t>hoz, valláshoz és általában a hithez való viszonyát megvilágítsam. Vizsgálódásom s</w:t>
      </w:r>
      <w:r>
        <w:t>o</w:t>
      </w:r>
      <w:r>
        <w:t>rán nem hivatkoztam az említett gondolkodók vallásos hitére vagy hitetlenségére, illetve estleges hitvallásuk őszinteségére, vagy őszintétle</w:t>
      </w:r>
      <w:r>
        <w:t>n</w:t>
      </w:r>
      <w:r>
        <w:t>ségére, noha ez egyébként mindhárom filozófus esetében újra és újra felmerülő kérdés. Helyette inkább arra törekedtem, hogy összegyűjtsem és értelmezzem azokat a szöveghely</w:t>
      </w:r>
      <w:r>
        <w:t>e</w:t>
      </w:r>
      <w:r>
        <w:t>ket, ahol a tárgyalt szerzők a filozófia és a teológia, az ész és hit viszonyáról nyilatkoznak. Összegzéské</w:t>
      </w:r>
      <w:r>
        <w:t>p</w:t>
      </w:r>
      <w:r>
        <w:t xml:space="preserve">pen a következő konklúziót fogalmaznám meg: jóllehet az általam tanulmányozott gondolkodók eltérő módon viszonyultak a vallási-teológiai </w:t>
      </w:r>
      <w:r>
        <w:lastRenderedPageBreak/>
        <w:t>hagyományhoz, abban mégis egyetértettek, hogy a filoz</w:t>
      </w:r>
      <w:r>
        <w:t>ó</w:t>
      </w:r>
      <w:r>
        <w:t>fiát és a teológiát el kell különíteni egymástól, mivel mindkettőnek más a tárgya, mások a feladatai és fun</w:t>
      </w:r>
      <w:r>
        <w:t>k</w:t>
      </w:r>
      <w:r>
        <w:t>ciói. Látni fogjuk azonban, hogy a két diszciplína szétválasztása nem annyira Isten kiszorítását jelenti a filozófia szót</w:t>
      </w:r>
      <w:r>
        <w:t>á</w:t>
      </w:r>
      <w:r>
        <w:t>rából, mint inkább egy olyan istenfogalom megkonstruálását, amely mindenekelőtt rendet, örökérvényű igazságokat és egy olyan világot jelent, amely leírható a modern természettudomány törv</w:t>
      </w:r>
      <w:r>
        <w:t>é</w:t>
      </w:r>
      <w:r>
        <w:t xml:space="preserve">nyei által. </w:t>
      </w:r>
    </w:p>
    <w:p w:rsidR="00B858F3" w:rsidRDefault="00B858F3" w:rsidP="00B858F3">
      <w:pPr>
        <w:pStyle w:val="Stlus6"/>
        <w:jc w:val="center"/>
        <w:rPr>
          <w:rFonts w:ascii="BernhardMod BT" w:hAnsi="BernhardMod BT"/>
          <w:b/>
          <w:bCs/>
        </w:rPr>
      </w:pPr>
    </w:p>
    <w:p w:rsidR="00B858F3" w:rsidRDefault="00B858F3" w:rsidP="00B858F3">
      <w:pPr>
        <w:pStyle w:val="Stlus6"/>
        <w:jc w:val="center"/>
        <w:rPr>
          <w:rFonts w:ascii="BernhardMod BT" w:hAnsi="BernhardMod BT"/>
          <w:b/>
          <w:bCs/>
        </w:rPr>
      </w:pPr>
    </w:p>
    <w:p w:rsidR="00B858F3" w:rsidRDefault="00B858F3" w:rsidP="00B858F3">
      <w:pPr>
        <w:pStyle w:val="Stlus6"/>
        <w:jc w:val="center"/>
        <w:rPr>
          <w:rFonts w:ascii="BernhardMod BT" w:hAnsi="BernhardMod BT"/>
          <w:b/>
          <w:bCs/>
        </w:rPr>
      </w:pPr>
    </w:p>
    <w:p w:rsidR="00241C45" w:rsidRDefault="00241C45">
      <w:bookmarkStart w:id="0" w:name="_GoBack"/>
      <w:bookmarkEnd w:id="0"/>
    </w:p>
    <w:sectPr w:rsidR="00241C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8B0" w:rsidRDefault="009128B0" w:rsidP="00B858F3">
      <w:pPr>
        <w:spacing w:after="0" w:line="240" w:lineRule="auto"/>
      </w:pPr>
      <w:r>
        <w:separator/>
      </w:r>
    </w:p>
  </w:endnote>
  <w:endnote w:type="continuationSeparator" w:id="0">
    <w:p w:rsidR="009128B0" w:rsidRDefault="009128B0" w:rsidP="00B858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ernhardMod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8B0" w:rsidRDefault="009128B0" w:rsidP="00B858F3">
      <w:pPr>
        <w:spacing w:after="0" w:line="240" w:lineRule="auto"/>
      </w:pPr>
      <w:r>
        <w:separator/>
      </w:r>
    </w:p>
  </w:footnote>
  <w:footnote w:type="continuationSeparator" w:id="0">
    <w:p w:rsidR="009128B0" w:rsidRDefault="009128B0" w:rsidP="00B858F3">
      <w:pPr>
        <w:spacing w:after="0" w:line="240" w:lineRule="auto"/>
      </w:pPr>
      <w:r>
        <w:continuationSeparator/>
      </w:r>
    </w:p>
  </w:footnote>
  <w:footnote w:id="1">
    <w:p w:rsidR="00B858F3" w:rsidRDefault="00B858F3" w:rsidP="00B858F3">
      <w:pPr>
        <w:pStyle w:val="Lbjegyzetszveg"/>
        <w:rPr>
          <w:spacing w:val="0"/>
        </w:rPr>
      </w:pPr>
      <w:r>
        <w:rPr>
          <w:rStyle w:val="Lbjegyzet-hivatkozs"/>
          <w:spacing w:val="0"/>
        </w:rPr>
        <w:footnoteRef/>
      </w:r>
      <w:r>
        <w:rPr>
          <w:spacing w:val="0"/>
        </w:rPr>
        <w:t xml:space="preserve"> Leibniz, G. W. :  </w:t>
      </w:r>
      <w:proofErr w:type="spellStart"/>
      <w:r>
        <w:rPr>
          <w:i/>
          <w:spacing w:val="0"/>
        </w:rPr>
        <w:t>Eseuri</w:t>
      </w:r>
      <w:proofErr w:type="spellEnd"/>
      <w:r>
        <w:rPr>
          <w:i/>
          <w:spacing w:val="0"/>
        </w:rPr>
        <w:t xml:space="preserve"> de </w:t>
      </w:r>
      <w:proofErr w:type="spellStart"/>
      <w:r>
        <w:rPr>
          <w:i/>
          <w:spacing w:val="0"/>
        </w:rPr>
        <w:t>teodicee</w:t>
      </w:r>
      <w:proofErr w:type="spellEnd"/>
      <w:r>
        <w:rPr>
          <w:spacing w:val="0"/>
        </w:rPr>
        <w:t xml:space="preserve">. (a továbbiakban: </w:t>
      </w:r>
      <w:proofErr w:type="spellStart"/>
      <w:r>
        <w:rPr>
          <w:i/>
          <w:spacing w:val="0"/>
        </w:rPr>
        <w:t>Theodicea</w:t>
      </w:r>
      <w:proofErr w:type="spellEnd"/>
      <w:r>
        <w:rPr>
          <w:spacing w:val="0"/>
        </w:rPr>
        <w:t xml:space="preserve">). </w:t>
      </w:r>
      <w:proofErr w:type="spellStart"/>
      <w:r>
        <w:rPr>
          <w:spacing w:val="0"/>
        </w:rPr>
        <w:t>Polirom</w:t>
      </w:r>
      <w:proofErr w:type="spellEnd"/>
      <w:r>
        <w:rPr>
          <w:spacing w:val="0"/>
        </w:rPr>
        <w:t xml:space="preserve">, </w:t>
      </w:r>
      <w:proofErr w:type="spellStart"/>
      <w:r>
        <w:rPr>
          <w:spacing w:val="0"/>
        </w:rPr>
        <w:t>Iasi</w:t>
      </w:r>
      <w:proofErr w:type="spellEnd"/>
      <w:r>
        <w:rPr>
          <w:spacing w:val="0"/>
        </w:rPr>
        <w:t>, 1997, 89.</w:t>
      </w:r>
    </w:p>
  </w:footnote>
  <w:footnote w:id="2">
    <w:p w:rsidR="00B858F3" w:rsidRDefault="00B858F3" w:rsidP="00B858F3">
      <w:pPr>
        <w:pStyle w:val="Lbjegyzetszveg"/>
        <w:rPr>
          <w:spacing w:val="0"/>
        </w:rPr>
      </w:pPr>
      <w:r>
        <w:rPr>
          <w:rStyle w:val="Lbjegyzet-hivatkozs"/>
          <w:spacing w:val="0"/>
        </w:rPr>
        <w:footnoteRef/>
      </w:r>
      <w:r>
        <w:rPr>
          <w:spacing w:val="0"/>
        </w:rPr>
        <w:t xml:space="preserve"> Vö. </w:t>
      </w:r>
      <w:proofErr w:type="spellStart"/>
      <w:r>
        <w:rPr>
          <w:spacing w:val="0"/>
        </w:rPr>
        <w:t>Fouke</w:t>
      </w:r>
      <w:proofErr w:type="spellEnd"/>
      <w:r>
        <w:rPr>
          <w:spacing w:val="0"/>
        </w:rPr>
        <w:t>, D.</w:t>
      </w:r>
      <w:r>
        <w:rPr>
          <w:i/>
          <w:spacing w:val="0"/>
        </w:rPr>
        <w:t xml:space="preserve">: </w:t>
      </w:r>
      <w:proofErr w:type="spellStart"/>
      <w:r>
        <w:rPr>
          <w:spacing w:val="0"/>
        </w:rPr>
        <w:t>Metaphysics</w:t>
      </w:r>
      <w:proofErr w:type="spellEnd"/>
      <w:r>
        <w:rPr>
          <w:spacing w:val="0"/>
        </w:rPr>
        <w:t xml:space="preserve"> and </w:t>
      </w:r>
      <w:proofErr w:type="spellStart"/>
      <w:r>
        <w:rPr>
          <w:spacing w:val="0"/>
        </w:rPr>
        <w:t>Eucharist</w:t>
      </w:r>
      <w:proofErr w:type="spellEnd"/>
      <w:r>
        <w:rPr>
          <w:spacing w:val="0"/>
        </w:rPr>
        <w:t xml:space="preserve"> </w:t>
      </w:r>
      <w:proofErr w:type="spellStart"/>
      <w:r>
        <w:rPr>
          <w:spacing w:val="0"/>
        </w:rPr>
        <w:t>in</w:t>
      </w:r>
      <w:proofErr w:type="spellEnd"/>
      <w:r>
        <w:rPr>
          <w:spacing w:val="0"/>
        </w:rPr>
        <w:t xml:space="preserve"> </w:t>
      </w:r>
      <w:proofErr w:type="spellStart"/>
      <w:r>
        <w:rPr>
          <w:spacing w:val="0"/>
        </w:rPr>
        <w:t>the</w:t>
      </w:r>
      <w:proofErr w:type="spellEnd"/>
      <w:r>
        <w:rPr>
          <w:spacing w:val="0"/>
        </w:rPr>
        <w:t xml:space="preserve"> </w:t>
      </w:r>
      <w:proofErr w:type="spellStart"/>
      <w:r>
        <w:rPr>
          <w:spacing w:val="0"/>
        </w:rPr>
        <w:t>Early</w:t>
      </w:r>
      <w:proofErr w:type="spellEnd"/>
      <w:r>
        <w:rPr>
          <w:spacing w:val="0"/>
        </w:rPr>
        <w:t xml:space="preserve"> Leibniz, </w:t>
      </w:r>
      <w:proofErr w:type="spellStart"/>
      <w:r>
        <w:rPr>
          <w:spacing w:val="0"/>
        </w:rPr>
        <w:t>in</w:t>
      </w:r>
      <w:proofErr w:type="spellEnd"/>
      <w:r>
        <w:rPr>
          <w:spacing w:val="0"/>
        </w:rPr>
        <w:t xml:space="preserve">: </w:t>
      </w:r>
      <w:proofErr w:type="spellStart"/>
      <w:r>
        <w:rPr>
          <w:i/>
          <w:spacing w:val="0"/>
        </w:rPr>
        <w:t>Studia</w:t>
      </w:r>
      <w:proofErr w:type="spellEnd"/>
      <w:r>
        <w:rPr>
          <w:i/>
          <w:spacing w:val="0"/>
        </w:rPr>
        <w:t xml:space="preserve"> </w:t>
      </w:r>
      <w:proofErr w:type="spellStart"/>
      <w:r>
        <w:rPr>
          <w:i/>
          <w:spacing w:val="0"/>
        </w:rPr>
        <w:t>Leibnitiana</w:t>
      </w:r>
      <w:proofErr w:type="spellEnd"/>
      <w:r>
        <w:rPr>
          <w:spacing w:val="0"/>
        </w:rPr>
        <w:t>, Band XXIV / 2 (1992), 149.</w:t>
      </w:r>
    </w:p>
  </w:footnote>
  <w:footnote w:id="3">
    <w:p w:rsidR="00B858F3" w:rsidRDefault="00B858F3" w:rsidP="00B858F3">
      <w:pPr>
        <w:pStyle w:val="Lbjegyzetszveg"/>
        <w:rPr>
          <w:spacing w:val="0"/>
        </w:rPr>
      </w:pPr>
      <w:r>
        <w:rPr>
          <w:rStyle w:val="Lbjegyzet-hivatkozs"/>
          <w:spacing w:val="0"/>
        </w:rPr>
        <w:footnoteRef/>
      </w:r>
      <w:r>
        <w:rPr>
          <w:spacing w:val="0"/>
        </w:rPr>
        <w:t xml:space="preserve"> Leibniz 1686-ban írta meg a </w:t>
      </w:r>
      <w:r>
        <w:rPr>
          <w:i/>
          <w:spacing w:val="0"/>
        </w:rPr>
        <w:t>Metafizikai értekezés</w:t>
      </w:r>
      <w:r>
        <w:rPr>
          <w:spacing w:val="0"/>
        </w:rPr>
        <w:t>t, amely metafizikai rendszerének tömör vázlata k</w:t>
      </w:r>
      <w:r>
        <w:rPr>
          <w:spacing w:val="0"/>
        </w:rPr>
        <w:t>í</w:t>
      </w:r>
      <w:r>
        <w:rPr>
          <w:spacing w:val="0"/>
        </w:rPr>
        <w:t xml:space="preserve">vánt lenni, valamint a </w:t>
      </w:r>
      <w:proofErr w:type="spellStart"/>
      <w:r>
        <w:rPr>
          <w:i/>
          <w:spacing w:val="0"/>
        </w:rPr>
        <w:t>Systema</w:t>
      </w:r>
      <w:proofErr w:type="spellEnd"/>
      <w:r>
        <w:rPr>
          <w:i/>
          <w:spacing w:val="0"/>
        </w:rPr>
        <w:t xml:space="preserve"> </w:t>
      </w:r>
      <w:proofErr w:type="spellStart"/>
      <w:r>
        <w:rPr>
          <w:i/>
          <w:spacing w:val="0"/>
        </w:rPr>
        <w:t>theologicum-</w:t>
      </w:r>
      <w:r>
        <w:rPr>
          <w:spacing w:val="0"/>
        </w:rPr>
        <w:t>ot</w:t>
      </w:r>
      <w:proofErr w:type="spellEnd"/>
      <w:r>
        <w:rPr>
          <w:spacing w:val="0"/>
        </w:rPr>
        <w:t xml:space="preserve">, az egyházak egyesítéséről szóló írását. Robert </w:t>
      </w:r>
      <w:proofErr w:type="spellStart"/>
      <w:r>
        <w:rPr>
          <w:spacing w:val="0"/>
        </w:rPr>
        <w:t>Sleigh</w:t>
      </w:r>
      <w:proofErr w:type="spellEnd"/>
      <w:r>
        <w:rPr>
          <w:spacing w:val="0"/>
        </w:rPr>
        <w:t xml:space="preserve">, a közelmúltban megjelent </w:t>
      </w:r>
      <w:r>
        <w:rPr>
          <w:i/>
          <w:spacing w:val="0"/>
        </w:rPr>
        <w:t xml:space="preserve">Leibniz and </w:t>
      </w:r>
      <w:proofErr w:type="spellStart"/>
      <w:r>
        <w:rPr>
          <w:i/>
          <w:spacing w:val="0"/>
        </w:rPr>
        <w:t>Arnauld</w:t>
      </w:r>
      <w:proofErr w:type="spellEnd"/>
      <w:r>
        <w:rPr>
          <w:spacing w:val="0"/>
        </w:rPr>
        <w:t xml:space="preserve"> című könyvében arra az álláspontra helye</w:t>
      </w:r>
      <w:r>
        <w:rPr>
          <w:spacing w:val="0"/>
        </w:rPr>
        <w:t>z</w:t>
      </w:r>
      <w:r>
        <w:rPr>
          <w:spacing w:val="0"/>
        </w:rPr>
        <w:t xml:space="preserve">kedik, hogy ez az egybeesés nem véletlen, és hogy a </w:t>
      </w:r>
      <w:r>
        <w:rPr>
          <w:i/>
          <w:spacing w:val="0"/>
        </w:rPr>
        <w:t>Metafizikai értekezés</w:t>
      </w:r>
      <w:r>
        <w:rPr>
          <w:spacing w:val="0"/>
        </w:rPr>
        <w:t xml:space="preserve"> megírása részét képezte Leibniz optimista egyház-egyesítési tervének. Lásd </w:t>
      </w:r>
      <w:proofErr w:type="spellStart"/>
      <w:r>
        <w:rPr>
          <w:spacing w:val="0"/>
        </w:rPr>
        <w:t>Sleigh</w:t>
      </w:r>
      <w:proofErr w:type="spellEnd"/>
      <w:r>
        <w:rPr>
          <w:spacing w:val="0"/>
        </w:rPr>
        <w:t>, R</w:t>
      </w:r>
      <w:proofErr w:type="gramStart"/>
      <w:r>
        <w:rPr>
          <w:spacing w:val="0"/>
        </w:rPr>
        <w:t>.:</w:t>
      </w:r>
      <w:proofErr w:type="gramEnd"/>
      <w:r>
        <w:rPr>
          <w:spacing w:val="0"/>
        </w:rPr>
        <w:t xml:space="preserve"> </w:t>
      </w:r>
      <w:r>
        <w:rPr>
          <w:i/>
          <w:spacing w:val="0"/>
        </w:rPr>
        <w:t xml:space="preserve">Leibniz and </w:t>
      </w:r>
      <w:proofErr w:type="spellStart"/>
      <w:r>
        <w:rPr>
          <w:i/>
          <w:spacing w:val="0"/>
        </w:rPr>
        <w:t>Arnauld</w:t>
      </w:r>
      <w:proofErr w:type="spellEnd"/>
      <w:r>
        <w:rPr>
          <w:i/>
          <w:spacing w:val="0"/>
        </w:rPr>
        <w:t xml:space="preserve">. A </w:t>
      </w:r>
      <w:proofErr w:type="spellStart"/>
      <w:r>
        <w:rPr>
          <w:i/>
          <w:spacing w:val="0"/>
        </w:rPr>
        <w:t>Commentary</w:t>
      </w:r>
      <w:proofErr w:type="spellEnd"/>
      <w:r>
        <w:rPr>
          <w:i/>
          <w:spacing w:val="0"/>
        </w:rPr>
        <w:t xml:space="preserve"> </w:t>
      </w:r>
      <w:proofErr w:type="spellStart"/>
      <w:r>
        <w:rPr>
          <w:i/>
          <w:spacing w:val="0"/>
        </w:rPr>
        <w:t>on</w:t>
      </w:r>
      <w:proofErr w:type="spellEnd"/>
      <w:r>
        <w:rPr>
          <w:i/>
          <w:spacing w:val="0"/>
        </w:rPr>
        <w:t xml:space="preserve"> </w:t>
      </w:r>
      <w:proofErr w:type="spellStart"/>
      <w:r>
        <w:rPr>
          <w:i/>
          <w:spacing w:val="0"/>
        </w:rPr>
        <w:t>Their</w:t>
      </w:r>
      <w:proofErr w:type="spellEnd"/>
      <w:r>
        <w:rPr>
          <w:i/>
          <w:spacing w:val="0"/>
        </w:rPr>
        <w:t xml:space="preserve"> </w:t>
      </w:r>
      <w:proofErr w:type="spellStart"/>
      <w:r>
        <w:rPr>
          <w:i/>
          <w:spacing w:val="0"/>
        </w:rPr>
        <w:t>Correspondence</w:t>
      </w:r>
      <w:proofErr w:type="spellEnd"/>
      <w:r>
        <w:rPr>
          <w:spacing w:val="0"/>
        </w:rPr>
        <w:t xml:space="preserve">, New </w:t>
      </w:r>
      <w:proofErr w:type="spellStart"/>
      <w:r>
        <w:rPr>
          <w:spacing w:val="0"/>
        </w:rPr>
        <w:t>Haven</w:t>
      </w:r>
      <w:proofErr w:type="spellEnd"/>
      <w:r>
        <w:rPr>
          <w:spacing w:val="0"/>
        </w:rPr>
        <w:t xml:space="preserve"> / London, 1990, 10</w:t>
      </w:r>
      <w:proofErr w:type="gramStart"/>
      <w:r>
        <w:rPr>
          <w:spacing w:val="0"/>
        </w:rPr>
        <w:t>.;</w:t>
      </w:r>
      <w:proofErr w:type="gramEnd"/>
      <w:r>
        <w:rPr>
          <w:spacing w:val="0"/>
        </w:rPr>
        <w:t xml:space="preserve"> Daniel C. </w:t>
      </w:r>
      <w:proofErr w:type="spellStart"/>
      <w:r>
        <w:rPr>
          <w:spacing w:val="0"/>
        </w:rPr>
        <w:t>Fouke</w:t>
      </w:r>
      <w:proofErr w:type="spellEnd"/>
      <w:r>
        <w:rPr>
          <w:i/>
          <w:spacing w:val="0"/>
        </w:rPr>
        <w:t>: i. m</w:t>
      </w:r>
      <w:r>
        <w:rPr>
          <w:spacing w:val="0"/>
        </w:rPr>
        <w:t xml:space="preserve">., 145-159. </w:t>
      </w:r>
    </w:p>
  </w:footnote>
  <w:footnote w:id="4">
    <w:p w:rsidR="00B858F3" w:rsidRDefault="00B858F3" w:rsidP="00B858F3">
      <w:pPr>
        <w:pStyle w:val="Lbjegyzetszveg"/>
        <w:rPr>
          <w:spacing w:val="0"/>
        </w:rPr>
      </w:pPr>
      <w:r>
        <w:rPr>
          <w:rStyle w:val="Lbjegyzet-hivatkozs"/>
          <w:spacing w:val="0"/>
        </w:rPr>
        <w:footnoteRef/>
      </w:r>
      <w:r>
        <w:rPr>
          <w:spacing w:val="0"/>
        </w:rPr>
        <w:t xml:space="preserve"> </w:t>
      </w:r>
      <w:proofErr w:type="spellStart"/>
      <w:r>
        <w:rPr>
          <w:i/>
          <w:iCs/>
          <w:spacing w:val="0"/>
        </w:rPr>
        <w:t>Theodicea</w:t>
      </w:r>
      <w:proofErr w:type="spellEnd"/>
      <w:r>
        <w:rPr>
          <w:spacing w:val="0"/>
        </w:rPr>
        <w:t xml:space="preserve">. Előszó. 43. </w:t>
      </w:r>
    </w:p>
  </w:footnote>
  <w:footnote w:id="5">
    <w:p w:rsidR="00B858F3" w:rsidRDefault="00B858F3" w:rsidP="00B858F3">
      <w:pPr>
        <w:pStyle w:val="Lbjegyzetszveg"/>
        <w:rPr>
          <w:spacing w:val="0"/>
        </w:rPr>
      </w:pPr>
      <w:r>
        <w:rPr>
          <w:rStyle w:val="Lbjegyzet-hivatkozs"/>
          <w:spacing w:val="0"/>
        </w:rPr>
        <w:footnoteRef/>
      </w:r>
      <w:r>
        <w:rPr>
          <w:spacing w:val="0"/>
        </w:rPr>
        <w:t xml:space="preserve"> Vö. </w:t>
      </w:r>
      <w:proofErr w:type="spellStart"/>
      <w:r>
        <w:rPr>
          <w:spacing w:val="0"/>
        </w:rPr>
        <w:t>Monadológia</w:t>
      </w:r>
      <w:proofErr w:type="spellEnd"/>
      <w:r>
        <w:rPr>
          <w:spacing w:val="0"/>
        </w:rPr>
        <w:t>. 33</w:t>
      </w:r>
      <w:proofErr w:type="gramStart"/>
      <w:r>
        <w:rPr>
          <w:spacing w:val="0"/>
        </w:rPr>
        <w:t>.tétel</w:t>
      </w:r>
      <w:proofErr w:type="gramEnd"/>
      <w:r>
        <w:rPr>
          <w:spacing w:val="0"/>
        </w:rPr>
        <w:t xml:space="preserve">. </w:t>
      </w:r>
      <w:proofErr w:type="spellStart"/>
      <w:r>
        <w:rPr>
          <w:spacing w:val="0"/>
        </w:rPr>
        <w:t>In</w:t>
      </w:r>
      <w:proofErr w:type="spellEnd"/>
      <w:r>
        <w:rPr>
          <w:spacing w:val="0"/>
        </w:rPr>
        <w:t>: Leibnizi, G</w:t>
      </w:r>
      <w:proofErr w:type="gramStart"/>
      <w:r>
        <w:rPr>
          <w:spacing w:val="0"/>
        </w:rPr>
        <w:t>.W</w:t>
      </w:r>
      <w:proofErr w:type="gramEnd"/>
      <w:r>
        <w:rPr>
          <w:spacing w:val="0"/>
        </w:rPr>
        <w:t xml:space="preserve">.: </w:t>
      </w:r>
      <w:r>
        <w:rPr>
          <w:i/>
          <w:spacing w:val="0"/>
        </w:rPr>
        <w:t>Értekezések</w:t>
      </w:r>
      <w:r>
        <w:rPr>
          <w:spacing w:val="0"/>
        </w:rPr>
        <w:t>. Franklin Társulat, Bp.1907, 178.</w:t>
      </w:r>
    </w:p>
  </w:footnote>
  <w:footnote w:id="6">
    <w:p w:rsidR="00B858F3" w:rsidRDefault="00B858F3" w:rsidP="00B858F3">
      <w:pPr>
        <w:pStyle w:val="Lbjegyzetszveg"/>
        <w:rPr>
          <w:spacing w:val="0"/>
        </w:rPr>
      </w:pPr>
      <w:r>
        <w:rPr>
          <w:rStyle w:val="Lbjegyzet-hivatkozs"/>
          <w:spacing w:val="0"/>
        </w:rPr>
        <w:footnoteRef/>
      </w:r>
      <w:r>
        <w:rPr>
          <w:spacing w:val="0"/>
        </w:rPr>
        <w:t xml:space="preserve"> </w:t>
      </w:r>
      <w:proofErr w:type="spellStart"/>
      <w:r>
        <w:rPr>
          <w:i/>
          <w:iCs/>
          <w:spacing w:val="0"/>
        </w:rPr>
        <w:t>Theodicea</w:t>
      </w:r>
      <w:proofErr w:type="spellEnd"/>
      <w:r>
        <w:rPr>
          <w:i/>
          <w:iCs/>
          <w:spacing w:val="0"/>
        </w:rPr>
        <w:t>.</w:t>
      </w:r>
      <w:r>
        <w:rPr>
          <w:spacing w:val="0"/>
        </w:rPr>
        <w:t xml:space="preserve"> D2.</w:t>
      </w:r>
    </w:p>
  </w:footnote>
  <w:footnote w:id="7">
    <w:p w:rsidR="00B858F3" w:rsidRDefault="00B858F3" w:rsidP="00B858F3">
      <w:pPr>
        <w:pStyle w:val="Lbjegyzetszveg"/>
        <w:rPr>
          <w:spacing w:val="0"/>
        </w:rPr>
      </w:pPr>
      <w:r>
        <w:rPr>
          <w:rStyle w:val="Lbjegyzet-hivatkozs"/>
          <w:spacing w:val="0"/>
        </w:rPr>
        <w:footnoteRef/>
      </w:r>
      <w:r>
        <w:rPr>
          <w:spacing w:val="0"/>
        </w:rPr>
        <w:t xml:space="preserve"> Uo. D. 39.</w:t>
      </w:r>
    </w:p>
  </w:footnote>
  <w:footnote w:id="8">
    <w:p w:rsidR="00B858F3" w:rsidRDefault="00B858F3" w:rsidP="00B858F3">
      <w:pPr>
        <w:pStyle w:val="Lbjegyzetszveg"/>
        <w:rPr>
          <w:spacing w:val="0"/>
        </w:rPr>
      </w:pPr>
      <w:r>
        <w:rPr>
          <w:rStyle w:val="Lbjegyzet-hivatkozs"/>
          <w:spacing w:val="0"/>
        </w:rPr>
        <w:footnoteRef/>
      </w:r>
      <w:r>
        <w:rPr>
          <w:spacing w:val="0"/>
        </w:rPr>
        <w:t xml:space="preserve"> Az 1710-ben, Amszterdamban megjelenő </w:t>
      </w:r>
      <w:proofErr w:type="spellStart"/>
      <w:r>
        <w:rPr>
          <w:i/>
          <w:spacing w:val="0"/>
        </w:rPr>
        <w:t>Essais</w:t>
      </w:r>
      <w:proofErr w:type="spellEnd"/>
      <w:r>
        <w:rPr>
          <w:i/>
          <w:spacing w:val="0"/>
        </w:rPr>
        <w:t xml:space="preserve"> de </w:t>
      </w:r>
      <w:proofErr w:type="spellStart"/>
      <w:r>
        <w:rPr>
          <w:i/>
          <w:spacing w:val="0"/>
        </w:rPr>
        <w:t>Theodicée</w:t>
      </w:r>
      <w:proofErr w:type="spellEnd"/>
      <w:r>
        <w:rPr>
          <w:spacing w:val="0"/>
        </w:rPr>
        <w:t xml:space="preserve"> Pierre </w:t>
      </w:r>
      <w:proofErr w:type="spellStart"/>
      <w:r>
        <w:rPr>
          <w:spacing w:val="0"/>
        </w:rPr>
        <w:t>Bayle</w:t>
      </w:r>
      <w:proofErr w:type="spellEnd"/>
      <w:r>
        <w:rPr>
          <w:spacing w:val="0"/>
        </w:rPr>
        <w:t xml:space="preserve"> 1696-1697 között megjelenő </w:t>
      </w:r>
      <w:proofErr w:type="spellStart"/>
      <w:r>
        <w:rPr>
          <w:i/>
          <w:spacing w:val="0"/>
        </w:rPr>
        <w:t>Dictionaire</w:t>
      </w:r>
      <w:proofErr w:type="spellEnd"/>
      <w:r>
        <w:rPr>
          <w:i/>
          <w:spacing w:val="0"/>
        </w:rPr>
        <w:t xml:space="preserve"> </w:t>
      </w:r>
      <w:proofErr w:type="spellStart"/>
      <w:r>
        <w:rPr>
          <w:i/>
          <w:spacing w:val="0"/>
        </w:rPr>
        <w:t>historique</w:t>
      </w:r>
      <w:proofErr w:type="spellEnd"/>
      <w:r>
        <w:rPr>
          <w:i/>
          <w:spacing w:val="0"/>
        </w:rPr>
        <w:t xml:space="preserve"> et </w:t>
      </w:r>
      <w:proofErr w:type="spellStart"/>
      <w:r>
        <w:rPr>
          <w:i/>
          <w:spacing w:val="0"/>
        </w:rPr>
        <w:t>critique</w:t>
      </w:r>
      <w:r>
        <w:rPr>
          <w:spacing w:val="0"/>
        </w:rPr>
        <w:t>-val</w:t>
      </w:r>
      <w:proofErr w:type="spellEnd"/>
      <w:r>
        <w:rPr>
          <w:spacing w:val="0"/>
        </w:rPr>
        <w:t xml:space="preserve"> polemizáló mű. </w:t>
      </w:r>
      <w:proofErr w:type="spellStart"/>
      <w:r>
        <w:rPr>
          <w:spacing w:val="0"/>
        </w:rPr>
        <w:t>Bayle</w:t>
      </w:r>
      <w:proofErr w:type="spellEnd"/>
      <w:r>
        <w:rPr>
          <w:spacing w:val="0"/>
        </w:rPr>
        <w:t xml:space="preserve"> a világ és Isten fogalma között feloldhatatlan elle</w:t>
      </w:r>
      <w:r>
        <w:rPr>
          <w:spacing w:val="0"/>
        </w:rPr>
        <w:t>n</w:t>
      </w:r>
      <w:r>
        <w:rPr>
          <w:spacing w:val="0"/>
        </w:rPr>
        <w:t>mondást állapított meg, ezért kijelentette, hogy nem lehetséges filozófiai teológia. Az ész és teológia véleménye szerint teljesen különböző megismerési rendbe tartoznak, viszonyukat pedig az e</w:t>
      </w:r>
      <w:r>
        <w:rPr>
          <w:spacing w:val="0"/>
        </w:rPr>
        <w:t>l</w:t>
      </w:r>
      <w:r>
        <w:rPr>
          <w:spacing w:val="0"/>
        </w:rPr>
        <w:t xml:space="preserve">lentmondás határozza meg. A kinyilatkoztatott igazságok sajátossága, hogy ellentmondnak az észnek, az ész sajátossága, hogy ellentmond a hitnek. </w:t>
      </w:r>
      <w:proofErr w:type="spellStart"/>
      <w:r>
        <w:rPr>
          <w:spacing w:val="0"/>
        </w:rPr>
        <w:t>Bayle</w:t>
      </w:r>
      <w:proofErr w:type="spellEnd"/>
      <w:r>
        <w:rPr>
          <w:spacing w:val="0"/>
        </w:rPr>
        <w:t xml:space="preserve"> végső következtetése az, hogy az észnek meg kell hajo</w:t>
      </w:r>
      <w:r>
        <w:rPr>
          <w:spacing w:val="0"/>
        </w:rPr>
        <w:t>l</w:t>
      </w:r>
      <w:r>
        <w:rPr>
          <w:spacing w:val="0"/>
        </w:rPr>
        <w:t xml:space="preserve">nia a hit előtt. </w:t>
      </w:r>
    </w:p>
  </w:footnote>
  <w:footnote w:id="9">
    <w:p w:rsidR="00B858F3" w:rsidRDefault="00B858F3" w:rsidP="00B858F3">
      <w:pPr>
        <w:pStyle w:val="Lbjegyzetszveg"/>
        <w:rPr>
          <w:spacing w:val="0"/>
        </w:rPr>
      </w:pPr>
      <w:r>
        <w:rPr>
          <w:rStyle w:val="Lbjegyzet-hivatkozs"/>
          <w:spacing w:val="0"/>
        </w:rPr>
        <w:footnoteRef/>
      </w:r>
      <w:r>
        <w:rPr>
          <w:spacing w:val="0"/>
        </w:rPr>
        <w:t xml:space="preserve"> </w:t>
      </w:r>
      <w:proofErr w:type="spellStart"/>
      <w:r>
        <w:rPr>
          <w:i/>
          <w:iCs/>
          <w:spacing w:val="0"/>
        </w:rPr>
        <w:t>Theodicea</w:t>
      </w:r>
      <w:proofErr w:type="spellEnd"/>
      <w:r>
        <w:rPr>
          <w:spacing w:val="0"/>
        </w:rPr>
        <w:t xml:space="preserve">. D. 23. </w:t>
      </w:r>
    </w:p>
  </w:footnote>
  <w:footnote w:id="10">
    <w:p w:rsidR="00B858F3" w:rsidRDefault="00B858F3" w:rsidP="00B858F3">
      <w:pPr>
        <w:pStyle w:val="Lbjegyzetszveg"/>
        <w:rPr>
          <w:spacing w:val="0"/>
        </w:rPr>
      </w:pPr>
      <w:r>
        <w:rPr>
          <w:rStyle w:val="Lbjegyzet-hivatkozs"/>
          <w:spacing w:val="0"/>
        </w:rPr>
        <w:footnoteRef/>
      </w:r>
      <w:r>
        <w:rPr>
          <w:spacing w:val="0"/>
        </w:rPr>
        <w:t xml:space="preserve"> Uo.</w:t>
      </w:r>
      <w:r>
        <w:rPr>
          <w:i/>
          <w:spacing w:val="0"/>
        </w:rPr>
        <w:t xml:space="preserve"> </w:t>
      </w:r>
      <w:r>
        <w:rPr>
          <w:spacing w:val="0"/>
        </w:rPr>
        <w:t>D. 52.</w:t>
      </w:r>
    </w:p>
  </w:footnote>
  <w:footnote w:id="11">
    <w:p w:rsidR="00B858F3" w:rsidRDefault="00B858F3" w:rsidP="00B858F3">
      <w:pPr>
        <w:pStyle w:val="Lbjegyzetszveg"/>
        <w:rPr>
          <w:spacing w:val="0"/>
        </w:rPr>
      </w:pPr>
      <w:r>
        <w:rPr>
          <w:rStyle w:val="Lbjegyzet-hivatkozs"/>
          <w:spacing w:val="0"/>
        </w:rPr>
        <w:footnoteRef/>
      </w:r>
      <w:r>
        <w:rPr>
          <w:spacing w:val="0"/>
        </w:rPr>
        <w:t xml:space="preserve"> Uo. D. 39. </w:t>
      </w:r>
    </w:p>
  </w:footnote>
  <w:footnote w:id="12">
    <w:p w:rsidR="00B858F3" w:rsidRDefault="00B858F3" w:rsidP="00B858F3">
      <w:pPr>
        <w:pStyle w:val="Lbjegyzetszveg"/>
        <w:rPr>
          <w:spacing w:val="0"/>
        </w:rPr>
      </w:pPr>
      <w:r>
        <w:rPr>
          <w:rStyle w:val="Lbjegyzet-hivatkozs"/>
          <w:spacing w:val="0"/>
        </w:rPr>
        <w:footnoteRef/>
      </w:r>
      <w:r>
        <w:rPr>
          <w:spacing w:val="0"/>
        </w:rPr>
        <w:t xml:space="preserve"> Uo. D. 39. </w:t>
      </w:r>
    </w:p>
  </w:footnote>
  <w:footnote w:id="13">
    <w:p w:rsidR="00B858F3" w:rsidRDefault="00B858F3" w:rsidP="00B858F3">
      <w:pPr>
        <w:pStyle w:val="Lbjegyzetszveg"/>
        <w:rPr>
          <w:spacing w:val="0"/>
        </w:rPr>
      </w:pPr>
      <w:r>
        <w:rPr>
          <w:rStyle w:val="Lbjegyzet-hivatkozs"/>
          <w:spacing w:val="0"/>
        </w:rPr>
        <w:footnoteRef/>
      </w:r>
      <w:r>
        <w:rPr>
          <w:spacing w:val="0"/>
        </w:rPr>
        <w:t xml:space="preserve"> Vö. Uo. D. 5, 23, 60. </w:t>
      </w:r>
    </w:p>
  </w:footnote>
  <w:footnote w:id="14">
    <w:p w:rsidR="00B858F3" w:rsidRDefault="00B858F3" w:rsidP="00B858F3">
      <w:pPr>
        <w:pStyle w:val="Lbjegyzetszveg"/>
        <w:rPr>
          <w:spacing w:val="0"/>
        </w:rPr>
      </w:pPr>
      <w:r>
        <w:rPr>
          <w:rStyle w:val="Lbjegyzet-hivatkozs"/>
          <w:spacing w:val="0"/>
        </w:rPr>
        <w:footnoteRef/>
      </w:r>
      <w:r>
        <w:rPr>
          <w:spacing w:val="0"/>
        </w:rPr>
        <w:t xml:space="preserve"> Vö. Uo. 48.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8F3"/>
    <w:rsid w:val="00241C45"/>
    <w:rsid w:val="009128B0"/>
    <w:rsid w:val="00B85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autoRedefine/>
    <w:semiHidden/>
    <w:rsid w:val="00B858F3"/>
    <w:pPr>
      <w:spacing w:after="0" w:line="360" w:lineRule="auto"/>
      <w:jc w:val="both"/>
    </w:pPr>
    <w:rPr>
      <w:rFonts w:ascii="Times New Roman" w:eastAsia="Times New Roman" w:hAnsi="Times New Roman" w:cs="Times New Roman"/>
      <w:spacing w:val="2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semiHidden/>
    <w:rsid w:val="00B858F3"/>
    <w:rPr>
      <w:rFonts w:ascii="Times New Roman" w:eastAsia="Times New Roman" w:hAnsi="Times New Roman" w:cs="Times New Roman"/>
      <w:spacing w:val="2"/>
      <w:sz w:val="20"/>
      <w:szCs w:val="20"/>
      <w:lang w:eastAsia="hu-HU"/>
    </w:rPr>
  </w:style>
  <w:style w:type="character" w:styleId="Lbjegyzet-hivatkozs">
    <w:name w:val="footnote reference"/>
    <w:basedOn w:val="Bekezdsalapbettpusa"/>
    <w:semiHidden/>
    <w:rsid w:val="00B858F3"/>
    <w:rPr>
      <w:vertAlign w:val="superscript"/>
    </w:rPr>
  </w:style>
  <w:style w:type="paragraph" w:customStyle="1" w:styleId="Stlus6">
    <w:name w:val="Stílus6"/>
    <w:basedOn w:val="Norml"/>
    <w:rsid w:val="00B858F3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6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autoRedefine/>
    <w:semiHidden/>
    <w:rsid w:val="00B858F3"/>
    <w:pPr>
      <w:spacing w:after="0" w:line="360" w:lineRule="auto"/>
      <w:jc w:val="both"/>
    </w:pPr>
    <w:rPr>
      <w:rFonts w:ascii="Times New Roman" w:eastAsia="Times New Roman" w:hAnsi="Times New Roman" w:cs="Times New Roman"/>
      <w:spacing w:val="2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semiHidden/>
    <w:rsid w:val="00B858F3"/>
    <w:rPr>
      <w:rFonts w:ascii="Times New Roman" w:eastAsia="Times New Roman" w:hAnsi="Times New Roman" w:cs="Times New Roman"/>
      <w:spacing w:val="2"/>
      <w:sz w:val="20"/>
      <w:szCs w:val="20"/>
      <w:lang w:eastAsia="hu-HU"/>
    </w:rPr>
  </w:style>
  <w:style w:type="character" w:styleId="Lbjegyzet-hivatkozs">
    <w:name w:val="footnote reference"/>
    <w:basedOn w:val="Bekezdsalapbettpusa"/>
    <w:semiHidden/>
    <w:rsid w:val="00B858F3"/>
    <w:rPr>
      <w:vertAlign w:val="superscript"/>
    </w:rPr>
  </w:style>
  <w:style w:type="paragraph" w:customStyle="1" w:styleId="Stlus6">
    <w:name w:val="Stílus6"/>
    <w:basedOn w:val="Norml"/>
    <w:rsid w:val="00B858F3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6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1011</Words>
  <Characters>6977</Characters>
  <Application>Microsoft Office Word</Application>
  <DocSecurity>0</DocSecurity>
  <Lines>58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2018-06-07T13:50:00Z</dcterms:created>
  <dcterms:modified xsi:type="dcterms:W3CDTF">2018-06-07T13:51:00Z</dcterms:modified>
</cp:coreProperties>
</file>